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F5" w:rsidRDefault="007E071A" w:rsidP="007E0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71A">
        <w:rPr>
          <w:rFonts w:ascii="Times New Roman" w:hAnsi="Times New Roman" w:cs="Times New Roman"/>
          <w:b/>
          <w:sz w:val="28"/>
          <w:szCs w:val="28"/>
        </w:rPr>
        <w:t>ЛЕКЦИЯ №5.</w:t>
      </w:r>
    </w:p>
    <w:p w:rsidR="00F913A5" w:rsidRDefault="00F913A5" w:rsidP="007E0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3A5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е принципы защиты от опасностей</w:t>
      </w:r>
    </w:p>
    <w:p w:rsidR="00F913A5" w:rsidRDefault="00F913A5" w:rsidP="007E0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color w:val="000000"/>
          <w:sz w:val="28"/>
          <w:szCs w:val="28"/>
        </w:rPr>
        <w:t>Опасности, реализуемые в виде недопустимых для человека потоков вещества, энергии и информации, могут существенно снизить эффективность трудовой деятельности человека, ухудшить его здоровье или привести к летальному исходу. Для устранения этих нежелательных эффектов необходимо снижать уровень действующих на человека потоков как минимум до допустимых значений.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color w:val="000000"/>
          <w:sz w:val="28"/>
          <w:szCs w:val="28"/>
        </w:rPr>
        <w:t>Принципиально эту задачу можно решать: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color w:val="000000"/>
          <w:sz w:val="28"/>
          <w:szCs w:val="28"/>
        </w:rPr>
        <w:t>- снижением потоков в опасных зонах около источника опасности;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913A5">
        <w:rPr>
          <w:color w:val="000000"/>
          <w:sz w:val="28"/>
          <w:szCs w:val="28"/>
        </w:rPr>
        <w:t>выведением человека из зоны действия опасности;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913A5">
        <w:rPr>
          <w:color w:val="000000"/>
          <w:sz w:val="28"/>
          <w:szCs w:val="28"/>
        </w:rPr>
        <w:t>применением средств защиты на путях распространения опасных потоков к зоне пребывания человека.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i/>
          <w:iCs/>
          <w:color w:val="000000"/>
          <w:sz w:val="28"/>
          <w:szCs w:val="28"/>
        </w:rPr>
        <w:t>Сокращение размеров опасных зон.</w:t>
      </w:r>
      <w:r w:rsidRPr="00F913A5">
        <w:rPr>
          <w:color w:val="000000"/>
          <w:sz w:val="28"/>
          <w:szCs w:val="28"/>
        </w:rPr>
        <w:t> Снижение потоков от источника опасности аналогично сокращению или полному устранению около него опасных зон.</w:t>
      </w:r>
    </w:p>
    <w:p w:rsid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color w:val="000000"/>
          <w:sz w:val="28"/>
          <w:szCs w:val="28"/>
        </w:rPr>
        <w:t>При воздействии вредных факторов сокращение размеров зон должно достигаться</w:t>
      </w:r>
      <w:r w:rsidRPr="00F913A5">
        <w:rPr>
          <w:color w:val="000000"/>
          <w:sz w:val="28"/>
          <w:szCs w:val="28"/>
        </w:rPr>
        <w:t>,</w:t>
      </w:r>
      <w:r w:rsidRPr="00F913A5">
        <w:rPr>
          <w:color w:val="000000"/>
          <w:sz w:val="28"/>
          <w:szCs w:val="28"/>
        </w:rPr>
        <w:t xml:space="preserve"> прежде всего</w:t>
      </w:r>
      <w:r w:rsidRPr="00F913A5">
        <w:rPr>
          <w:color w:val="000000"/>
          <w:sz w:val="28"/>
          <w:szCs w:val="28"/>
        </w:rPr>
        <w:t>,</w:t>
      </w:r>
      <w:r w:rsidRPr="00F913A5">
        <w:rPr>
          <w:color w:val="000000"/>
          <w:sz w:val="28"/>
          <w:szCs w:val="28"/>
        </w:rPr>
        <w:t xml:space="preserve"> сокращением технических систем, приводящи</w:t>
      </w:r>
      <w:r>
        <w:rPr>
          <w:color w:val="000000"/>
          <w:sz w:val="28"/>
          <w:szCs w:val="28"/>
        </w:rPr>
        <w:t>х</w:t>
      </w:r>
      <w:r w:rsidRPr="00F913A5">
        <w:rPr>
          <w:color w:val="000000"/>
          <w:sz w:val="28"/>
          <w:szCs w:val="28"/>
        </w:rPr>
        <w:t xml:space="preserve"> к уменьшению выделяемых ими отходов. Для ограничения вредного воздействия на человека и среду обитания к технической системе предъявляются требования по величине выделяемых в среду токсичных веществ в виде предельно допустимых выбросов или сбросов (ПДВ или ПДС), а также по величине энергетических загрязнений в виде предельно допустимых излучений в среду обитания. 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color w:val="000000"/>
          <w:sz w:val="28"/>
          <w:szCs w:val="28"/>
        </w:rPr>
        <w:t>Значения ПДВ и ПДС определяют расчётом, исходя из значений ПДК в зонах пребывания человека. Величины предельных излучений находят, исходя из предельно допустимых уровней (ПДУ) воздействия загрязнения и расстояния между источником излучения и зоной пребывания человека.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F913A5">
        <w:rPr>
          <w:iCs/>
          <w:color w:val="000000"/>
          <w:sz w:val="28"/>
          <w:szCs w:val="28"/>
          <w:u w:val="single"/>
        </w:rPr>
        <w:lastRenderedPageBreak/>
        <w:t>Уменьшение отходов систем при их эксплуатации – радикальный путь к снижению воздействия вредных факторов.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F913A5">
        <w:rPr>
          <w:color w:val="000000"/>
          <w:sz w:val="28"/>
          <w:szCs w:val="28"/>
          <w:u w:val="single"/>
        </w:rPr>
        <w:t>Наибольшие трудности в ограничении размеров зон воздействия травмирующих факторов возникают при эксплуатации технических систем повышенной энергоемкости</w:t>
      </w:r>
      <w:r w:rsidRPr="00F913A5">
        <w:rPr>
          <w:color w:val="000000"/>
          <w:sz w:val="28"/>
          <w:szCs w:val="28"/>
        </w:rPr>
        <w:t xml:space="preserve"> (хранилищ углеводородов, химических производств, АЭС и т.п.). При авариях на таких объектах </w:t>
      </w:r>
      <w:proofErr w:type="spellStart"/>
      <w:r w:rsidRPr="00F913A5">
        <w:rPr>
          <w:color w:val="000000"/>
          <w:sz w:val="28"/>
          <w:szCs w:val="28"/>
        </w:rPr>
        <w:t>травмоопасные</w:t>
      </w:r>
      <w:proofErr w:type="spellEnd"/>
      <w:r w:rsidRPr="00F913A5">
        <w:rPr>
          <w:color w:val="000000"/>
          <w:sz w:val="28"/>
          <w:szCs w:val="28"/>
        </w:rPr>
        <w:t xml:space="preserve"> зоны охватывают, как правило, не только производственные зоны, но и зоны пребывания населения. </w:t>
      </w:r>
      <w:r w:rsidRPr="00F913A5">
        <w:rPr>
          <w:color w:val="000000"/>
          <w:sz w:val="28"/>
          <w:szCs w:val="28"/>
          <w:u w:val="single"/>
        </w:rPr>
        <w:t xml:space="preserve">Основными направлениями в ограничении размеров зон </w:t>
      </w:r>
      <w:proofErr w:type="spellStart"/>
      <w:r w:rsidRPr="00F913A5">
        <w:rPr>
          <w:color w:val="000000"/>
          <w:sz w:val="28"/>
          <w:szCs w:val="28"/>
          <w:u w:val="single"/>
        </w:rPr>
        <w:t>травмоопасности</w:t>
      </w:r>
      <w:proofErr w:type="spellEnd"/>
      <w:r w:rsidRPr="00F913A5">
        <w:rPr>
          <w:color w:val="000000"/>
          <w:sz w:val="28"/>
          <w:szCs w:val="28"/>
          <w:u w:val="single"/>
        </w:rPr>
        <w:t xml:space="preserve"> таких объектов являются: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F913A5">
        <w:rPr>
          <w:color w:val="000000"/>
          <w:sz w:val="28"/>
          <w:szCs w:val="28"/>
          <w:u w:val="single"/>
        </w:rPr>
        <w:t>- совершенствование систем безопасности объектов;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F913A5">
        <w:rPr>
          <w:color w:val="000000"/>
          <w:sz w:val="28"/>
          <w:szCs w:val="28"/>
          <w:u w:val="single"/>
        </w:rPr>
        <w:t>- непрерывный контроль источников опасности;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F913A5">
        <w:rPr>
          <w:color w:val="000000"/>
          <w:sz w:val="28"/>
          <w:szCs w:val="28"/>
          <w:u w:val="single"/>
        </w:rPr>
        <w:t>-</w:t>
      </w:r>
      <w:r w:rsidRPr="00F913A5">
        <w:rPr>
          <w:color w:val="000000"/>
          <w:sz w:val="28"/>
          <w:szCs w:val="28"/>
          <w:u w:val="single"/>
        </w:rPr>
        <w:t>достижение высокого профессионализма операторов технических систем.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color w:val="000000"/>
          <w:sz w:val="28"/>
          <w:szCs w:val="28"/>
        </w:rPr>
        <w:t xml:space="preserve">Совершенство технической системы по </w:t>
      </w:r>
      <w:proofErr w:type="spellStart"/>
      <w:r w:rsidRPr="00F913A5">
        <w:rPr>
          <w:color w:val="000000"/>
          <w:sz w:val="28"/>
          <w:szCs w:val="28"/>
        </w:rPr>
        <w:t>травмоопасности</w:t>
      </w:r>
      <w:proofErr w:type="spellEnd"/>
      <w:r w:rsidRPr="00F913A5">
        <w:rPr>
          <w:color w:val="000000"/>
          <w:sz w:val="28"/>
          <w:szCs w:val="28"/>
        </w:rPr>
        <w:t xml:space="preserve"> оценивают величиной допустимого риска.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color w:val="000000"/>
          <w:sz w:val="28"/>
          <w:szCs w:val="28"/>
        </w:rPr>
        <w:t xml:space="preserve">Риском можно управлять. Европейское сообщество в 1983 г. после крупной аварии в </w:t>
      </w:r>
      <w:proofErr w:type="spellStart"/>
      <w:r w:rsidRPr="00F913A5">
        <w:rPr>
          <w:color w:val="000000"/>
          <w:sz w:val="28"/>
          <w:szCs w:val="28"/>
        </w:rPr>
        <w:t>Севезо</w:t>
      </w:r>
      <w:proofErr w:type="spellEnd"/>
      <w:r w:rsidRPr="00F913A5">
        <w:rPr>
          <w:color w:val="000000"/>
          <w:sz w:val="28"/>
          <w:szCs w:val="28"/>
        </w:rPr>
        <w:t xml:space="preserve"> (Италия) приняло специальную «Директиву по </w:t>
      </w:r>
      <w:proofErr w:type="spellStart"/>
      <w:r w:rsidRPr="00F913A5">
        <w:rPr>
          <w:color w:val="000000"/>
          <w:sz w:val="28"/>
          <w:szCs w:val="28"/>
        </w:rPr>
        <w:t>Севезо</w:t>
      </w:r>
      <w:proofErr w:type="spellEnd"/>
      <w:r w:rsidRPr="00F913A5">
        <w:rPr>
          <w:color w:val="000000"/>
          <w:sz w:val="28"/>
          <w:szCs w:val="28"/>
        </w:rPr>
        <w:t>», согласно которой все новые объекты должны иметь точное обоснование их безопасности. После 1983г. число аварий в европейской промышленности стало резко снижаться: в 1982г. – 350, 1983г. – 400, 1986г. – 160, 1988г. – 50.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F913A5">
        <w:rPr>
          <w:iCs/>
          <w:color w:val="000000"/>
          <w:sz w:val="28"/>
          <w:szCs w:val="28"/>
          <w:u w:val="single"/>
        </w:rPr>
        <w:t xml:space="preserve">Снижение </w:t>
      </w:r>
      <w:proofErr w:type="spellStart"/>
      <w:r w:rsidRPr="00F913A5">
        <w:rPr>
          <w:iCs/>
          <w:color w:val="000000"/>
          <w:sz w:val="28"/>
          <w:szCs w:val="28"/>
          <w:u w:val="single"/>
        </w:rPr>
        <w:t>травмоопасности</w:t>
      </w:r>
      <w:proofErr w:type="spellEnd"/>
      <w:r w:rsidRPr="00F913A5">
        <w:rPr>
          <w:iCs/>
          <w:color w:val="000000"/>
          <w:sz w:val="28"/>
          <w:szCs w:val="28"/>
          <w:u w:val="single"/>
        </w:rPr>
        <w:t xml:space="preserve"> технических систем достигается их совершенствованием с целью реализации допустимого риска.</w:t>
      </w:r>
    </w:p>
    <w:p w:rsidR="00F913A5" w:rsidRPr="00F913A5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i/>
          <w:iCs/>
          <w:color w:val="000000"/>
          <w:sz w:val="28"/>
          <w:szCs w:val="28"/>
        </w:rPr>
        <w:t>Защита расстоянием.</w:t>
      </w:r>
      <w:r w:rsidRPr="00F913A5">
        <w:rPr>
          <w:color w:val="000000"/>
          <w:sz w:val="28"/>
          <w:szCs w:val="28"/>
        </w:rPr>
        <w:t> Варьируя взаимным расположением опасных зон и зон пребывания человека в пространстве, можно существенно влиять на решение задач по обеспечению безопасности жизнедеятельности. Различают четыре принципиальных варианта взаимного расположения зон опасности и зоны пребывания человека (рис. 1).</w:t>
      </w:r>
    </w:p>
    <w:p w:rsidR="00F913A5" w:rsidRDefault="00F913A5" w:rsidP="00F913A5">
      <w:pPr>
        <w:pStyle w:val="a7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40753C85" wp14:editId="6C9FA443">
            <wp:extent cx="2846070" cy="2131695"/>
            <wp:effectExtent l="0" t="0" r="0" b="1905"/>
            <wp:docPr id="1" name="Рисунок 1" descr="https://studfiles.net/html/2706/1231/html_uBTfAi0pV3.H_WW/img-EwKm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231/html_uBTfAi0pV3.H_WW/img-EwKmm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3A5" w:rsidRDefault="00F913A5" w:rsidP="00F913A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Рис.1.</w:t>
      </w:r>
      <w:r w:rsidRPr="00F913A5">
        <w:t xml:space="preserve"> </w:t>
      </w:r>
      <w:r w:rsidR="00DC24C6" w:rsidRPr="00DC24C6">
        <w:rPr>
          <w:color w:val="000000"/>
          <w:sz w:val="28"/>
          <w:szCs w:val="28"/>
        </w:rPr>
        <w:t>Варианты взаимного положения зоны опасности (О) и зоны пребывания человека (Ч):</w:t>
      </w:r>
    </w:p>
    <w:p w:rsidR="00F913A5" w:rsidRDefault="00F913A5" w:rsidP="00DC24C6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C24C6" w:rsidRPr="00DC24C6" w:rsidRDefault="00DC24C6" w:rsidP="00DC24C6">
      <w:pPr>
        <w:pStyle w:val="a7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DC24C6">
        <w:rPr>
          <w:i/>
          <w:color w:val="000000"/>
          <w:sz w:val="28"/>
          <w:szCs w:val="28"/>
        </w:rPr>
        <w:t>I – безопасная ситуация; II – ситуация кратковременной   или локальной опасности; III – опасная ситуация; IV – условная безопасная ситуация</w:t>
      </w:r>
    </w:p>
    <w:p w:rsidR="00DC24C6" w:rsidRDefault="00DC24C6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C24C6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color w:val="000000"/>
          <w:sz w:val="28"/>
          <w:szCs w:val="28"/>
        </w:rPr>
        <w:t xml:space="preserve">Полную безопасность гарантирует только I вариант взаимного расположения зон пребывания и действия негативных факторов – защита расстоянием, реализуемый при дистанционном управлении, наблюдении и т.п. </w:t>
      </w:r>
    </w:p>
    <w:p w:rsidR="00DC24C6" w:rsidRDefault="00F913A5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13A5">
        <w:rPr>
          <w:color w:val="000000"/>
          <w:sz w:val="28"/>
          <w:szCs w:val="28"/>
        </w:rPr>
        <w:t>Во II варианте негативное воздействие существует лишь в совмещенной части областей: если человек в этой части находится кратковременно (осмотр, мелкий ремонт и т.п.), то и негативное воздействие возмож</w:t>
      </w:r>
      <w:r w:rsidR="00DC24C6">
        <w:rPr>
          <w:color w:val="000000"/>
          <w:sz w:val="28"/>
          <w:szCs w:val="28"/>
        </w:rPr>
        <w:t>но только в этот период времени.</w:t>
      </w:r>
    </w:p>
    <w:p w:rsidR="00DC24C6" w:rsidRDefault="00DC24C6" w:rsidP="00F913A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913A5" w:rsidRPr="00F913A5">
        <w:rPr>
          <w:color w:val="000000"/>
          <w:sz w:val="28"/>
          <w:szCs w:val="28"/>
        </w:rPr>
        <w:t xml:space="preserve"> III варианте – негативное воздействие может быть реализовано в любой момент</w:t>
      </w:r>
      <w:r>
        <w:rPr>
          <w:color w:val="000000"/>
          <w:sz w:val="28"/>
          <w:szCs w:val="28"/>
        </w:rPr>
        <w:t>.</w:t>
      </w:r>
    </w:p>
    <w:p w:rsidR="00F913A5" w:rsidRPr="00F913A5" w:rsidRDefault="00DC24C6" w:rsidP="00DC24C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913A5" w:rsidRPr="00F913A5">
        <w:rPr>
          <w:color w:val="000000"/>
          <w:sz w:val="28"/>
          <w:szCs w:val="28"/>
        </w:rPr>
        <w:t xml:space="preserve"> IV варианте – только при нарушении функциональной </w:t>
      </w:r>
      <w:proofErr w:type="gramStart"/>
      <w:r w:rsidR="00F913A5" w:rsidRPr="00F913A5">
        <w:rPr>
          <w:color w:val="000000"/>
          <w:sz w:val="28"/>
          <w:szCs w:val="28"/>
        </w:rPr>
        <w:t>целостности средств защиты зоны пребывания</w:t>
      </w:r>
      <w:proofErr w:type="gramEnd"/>
      <w:r w:rsidR="00F913A5" w:rsidRPr="00F913A5">
        <w:rPr>
          <w:color w:val="000000"/>
          <w:sz w:val="28"/>
          <w:szCs w:val="28"/>
        </w:rPr>
        <w:t xml:space="preserve"> человека (как правило, средств индивидуальной защиты – СИЗ, кабин наблюдения и т.п.).</w:t>
      </w:r>
    </w:p>
    <w:p w:rsidR="00DC24C6" w:rsidRPr="00DC24C6" w:rsidRDefault="00F913A5" w:rsidP="00DC24C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4C6">
        <w:rPr>
          <w:color w:val="000000"/>
          <w:sz w:val="28"/>
          <w:szCs w:val="28"/>
          <w:u w:val="single"/>
        </w:rPr>
        <w:t>Радикальным способом обеспечения безопасности является разведение в пространстве опасных зон и зон пребывания человека.</w:t>
      </w:r>
      <w:r w:rsidRPr="00DC24C6">
        <w:rPr>
          <w:color w:val="000000"/>
          <w:sz w:val="28"/>
          <w:szCs w:val="28"/>
        </w:rPr>
        <w:t xml:space="preserve"> Разводить опасные</w:t>
      </w:r>
      <w:r w:rsidR="00DC24C6" w:rsidRPr="00DC24C6">
        <w:rPr>
          <w:color w:val="000000"/>
          <w:sz w:val="28"/>
          <w:szCs w:val="28"/>
        </w:rPr>
        <w:t xml:space="preserve"> </w:t>
      </w:r>
      <w:r w:rsidR="00DC24C6" w:rsidRPr="00DC24C6">
        <w:rPr>
          <w:color w:val="000000"/>
          <w:sz w:val="28"/>
          <w:szCs w:val="28"/>
        </w:rPr>
        <w:t>зоны и зоны пребывания человека можно не только в пространстве, но и во времени, реализуя чередование периодов действия опасностей и периодов наблюдения за состоянием технических систем.</w:t>
      </w:r>
    </w:p>
    <w:p w:rsidR="00DC24C6" w:rsidRPr="00DC24C6" w:rsidRDefault="00DC24C6" w:rsidP="00DC24C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4C6">
        <w:rPr>
          <w:i/>
          <w:iCs/>
          <w:color w:val="000000"/>
          <w:sz w:val="28"/>
          <w:szCs w:val="28"/>
        </w:rPr>
        <w:lastRenderedPageBreak/>
        <w:t xml:space="preserve">Применение </w:t>
      </w:r>
      <w:proofErr w:type="spellStart"/>
      <w:r w:rsidRPr="00DC24C6">
        <w:rPr>
          <w:i/>
          <w:iCs/>
          <w:color w:val="000000"/>
          <w:sz w:val="28"/>
          <w:szCs w:val="28"/>
        </w:rPr>
        <w:t>экобиозащитной</w:t>
      </w:r>
      <w:proofErr w:type="spellEnd"/>
      <w:r w:rsidRPr="00DC24C6">
        <w:rPr>
          <w:i/>
          <w:iCs/>
          <w:color w:val="000000"/>
          <w:sz w:val="28"/>
          <w:szCs w:val="28"/>
        </w:rPr>
        <w:t xml:space="preserve"> техники.</w:t>
      </w:r>
      <w:r w:rsidRPr="00DC24C6">
        <w:rPr>
          <w:color w:val="000000"/>
          <w:sz w:val="28"/>
          <w:szCs w:val="28"/>
        </w:rPr>
        <w:t xml:space="preserve"> К сожалению, </w:t>
      </w:r>
      <w:proofErr w:type="gramStart"/>
      <w:r w:rsidRPr="00DC24C6">
        <w:rPr>
          <w:color w:val="000000"/>
          <w:sz w:val="28"/>
          <w:szCs w:val="28"/>
        </w:rPr>
        <w:t>совершенство</w:t>
      </w:r>
      <w:r>
        <w:rPr>
          <w:color w:val="000000"/>
          <w:sz w:val="28"/>
          <w:szCs w:val="28"/>
        </w:rPr>
        <w:t>-</w:t>
      </w:r>
      <w:proofErr w:type="spellStart"/>
      <w:r w:rsidRPr="00DC24C6">
        <w:rPr>
          <w:color w:val="000000"/>
          <w:sz w:val="28"/>
          <w:szCs w:val="28"/>
        </w:rPr>
        <w:t>вание</w:t>
      </w:r>
      <w:proofErr w:type="spellEnd"/>
      <w:proofErr w:type="gramEnd"/>
      <w:r w:rsidRPr="00DC24C6">
        <w:rPr>
          <w:color w:val="000000"/>
          <w:sz w:val="28"/>
          <w:szCs w:val="28"/>
        </w:rPr>
        <w:t xml:space="preserve"> источников опасности и защиты расстоянием не всегда возможны на практике. Часто приходится решать вопросы безопасности при иных (II-IV) вариантах взаимного расположения опасных зон и зон пребывания (рис.1). В этих случаях для защиты от вредных факторов необходимо применять пылеуловители, водоочистные устройства, экраны и др.</w:t>
      </w:r>
    </w:p>
    <w:p w:rsidR="00DC24C6" w:rsidRPr="00DC24C6" w:rsidRDefault="00DC24C6" w:rsidP="00DC24C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4C6">
        <w:rPr>
          <w:color w:val="000000"/>
          <w:sz w:val="28"/>
          <w:szCs w:val="28"/>
          <w:u w:val="single"/>
        </w:rPr>
        <w:t xml:space="preserve">Для уменьшения зон действия травмирующих факторов технических систем применяют </w:t>
      </w:r>
      <w:proofErr w:type="spellStart"/>
      <w:r w:rsidRPr="00DC24C6">
        <w:rPr>
          <w:color w:val="000000"/>
          <w:sz w:val="28"/>
          <w:szCs w:val="28"/>
          <w:u w:val="single"/>
        </w:rPr>
        <w:t>экобиозащитную</w:t>
      </w:r>
      <w:proofErr w:type="spellEnd"/>
      <w:r w:rsidRPr="00DC24C6">
        <w:rPr>
          <w:color w:val="000000"/>
          <w:sz w:val="28"/>
          <w:szCs w:val="28"/>
          <w:u w:val="single"/>
        </w:rPr>
        <w:t xml:space="preserve"> технику в виде различных ограждений, защитных боксов и т.п.</w:t>
      </w:r>
      <w:r w:rsidRPr="00DC24C6">
        <w:rPr>
          <w:color w:val="000000"/>
          <w:sz w:val="28"/>
          <w:szCs w:val="28"/>
        </w:rPr>
        <w:t xml:space="preserve"> Принципиальная схема использования </w:t>
      </w:r>
      <w:proofErr w:type="spellStart"/>
      <w:r w:rsidRPr="00DC24C6">
        <w:rPr>
          <w:color w:val="000000"/>
          <w:sz w:val="28"/>
          <w:szCs w:val="28"/>
        </w:rPr>
        <w:t>экобиозащитной</w:t>
      </w:r>
      <w:proofErr w:type="spellEnd"/>
      <w:r w:rsidRPr="00DC24C6">
        <w:rPr>
          <w:color w:val="000000"/>
          <w:sz w:val="28"/>
          <w:szCs w:val="28"/>
        </w:rPr>
        <w:t xml:space="preserve"> техники показана на рис.2. В тех случаях, когда возможности</w:t>
      </w:r>
      <w:r w:rsidRPr="00DC24C6">
        <w:rPr>
          <w:color w:val="000000"/>
          <w:sz w:val="28"/>
          <w:szCs w:val="28"/>
        </w:rPr>
        <w:t xml:space="preserve"> </w:t>
      </w:r>
      <w:proofErr w:type="spellStart"/>
      <w:r w:rsidRPr="00DC24C6">
        <w:rPr>
          <w:color w:val="000000"/>
          <w:sz w:val="28"/>
          <w:szCs w:val="28"/>
        </w:rPr>
        <w:t>экобиозащитной</w:t>
      </w:r>
      <w:proofErr w:type="spellEnd"/>
      <w:r w:rsidRPr="00DC24C6">
        <w:rPr>
          <w:color w:val="000000"/>
          <w:sz w:val="28"/>
          <w:szCs w:val="28"/>
        </w:rPr>
        <w:t xml:space="preserve"> техники (1,2,3) коллективного использования ограничены и не обеспечивают значений ПДК и ПДУ в зонах пребывания людей, для защиты применяют средства индивидуальной защиты.</w:t>
      </w:r>
    </w:p>
    <w:p w:rsidR="00DC24C6" w:rsidRPr="00DC24C6" w:rsidRDefault="00DC24C6" w:rsidP="00DC24C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4C6">
        <w:rPr>
          <w:noProof/>
          <w:color w:val="000000"/>
          <w:sz w:val="28"/>
          <w:szCs w:val="28"/>
        </w:rPr>
        <w:drawing>
          <wp:inline distT="0" distB="0" distL="0" distR="0" wp14:anchorId="00C53AEF" wp14:editId="2972A643">
            <wp:extent cx="4965065" cy="2041525"/>
            <wp:effectExtent l="0" t="0" r="6985" b="0"/>
            <wp:docPr id="2" name="Рисунок 2" descr="https://studfiles.net/html/2706/1231/html_uBTfAi0pV3.H_WW/img-1yqm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1231/html_uBTfAi0pV3.H_WW/img-1yqmy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06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4C6" w:rsidRPr="00DC24C6" w:rsidRDefault="00DC24C6" w:rsidP="00DC24C6">
      <w:pPr>
        <w:pStyle w:val="a7"/>
        <w:jc w:val="center"/>
        <w:rPr>
          <w:color w:val="000000"/>
          <w:sz w:val="28"/>
          <w:szCs w:val="28"/>
        </w:rPr>
      </w:pPr>
      <w:r w:rsidRPr="00DC24C6">
        <w:rPr>
          <w:color w:val="000000"/>
          <w:sz w:val="28"/>
          <w:szCs w:val="28"/>
        </w:rPr>
        <w:t xml:space="preserve">Рис.2. Варианты использования </w:t>
      </w:r>
      <w:proofErr w:type="spellStart"/>
      <w:r w:rsidRPr="00DC24C6">
        <w:rPr>
          <w:color w:val="000000"/>
          <w:sz w:val="28"/>
          <w:szCs w:val="28"/>
        </w:rPr>
        <w:t>экобиозащитной</w:t>
      </w:r>
      <w:proofErr w:type="spellEnd"/>
      <w:r w:rsidRPr="00DC24C6">
        <w:rPr>
          <w:color w:val="000000"/>
          <w:sz w:val="28"/>
          <w:szCs w:val="28"/>
        </w:rPr>
        <w:t xml:space="preserve"> техники для снижения вредных воздействий:</w:t>
      </w:r>
    </w:p>
    <w:p w:rsidR="00DC24C6" w:rsidRPr="00DC24C6" w:rsidRDefault="00DC24C6" w:rsidP="00DC24C6">
      <w:pPr>
        <w:pStyle w:val="a7"/>
        <w:ind w:firstLine="709"/>
        <w:jc w:val="both"/>
        <w:rPr>
          <w:i/>
          <w:color w:val="000000"/>
          <w:sz w:val="28"/>
          <w:szCs w:val="28"/>
        </w:rPr>
      </w:pPr>
      <w:r w:rsidRPr="00DC24C6">
        <w:rPr>
          <w:i/>
          <w:color w:val="000000"/>
          <w:sz w:val="28"/>
          <w:szCs w:val="28"/>
        </w:rPr>
        <w:t>1 – устройства, входящие в состав источника воздействий; 2 – устройства, устанавливаемые между источником и зоной деятельности; 3 – устройства для защиты зоны деятельности; 4 – средства индивидуальной защиты человека</w:t>
      </w:r>
    </w:p>
    <w:p w:rsidR="0000567F" w:rsidRDefault="00DC24C6" w:rsidP="0000567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4C6">
        <w:rPr>
          <w:i/>
          <w:iCs/>
          <w:color w:val="000000"/>
          <w:sz w:val="28"/>
          <w:szCs w:val="28"/>
        </w:rPr>
        <w:t>Средства индивидуальной защиты.</w:t>
      </w:r>
      <w:r w:rsidRPr="00DC24C6">
        <w:rPr>
          <w:color w:val="000000"/>
          <w:sz w:val="28"/>
          <w:szCs w:val="28"/>
        </w:rPr>
        <w:t xml:space="preserve"> На ряде предприятий существуют такие виды работ или условия труда, при которых </w:t>
      </w:r>
      <w:proofErr w:type="gramStart"/>
      <w:r w:rsidRPr="00DC24C6">
        <w:rPr>
          <w:color w:val="000000"/>
          <w:sz w:val="28"/>
          <w:szCs w:val="28"/>
        </w:rPr>
        <w:t>работающий</w:t>
      </w:r>
      <w:proofErr w:type="gramEnd"/>
      <w:r w:rsidRPr="00DC24C6">
        <w:rPr>
          <w:color w:val="000000"/>
          <w:sz w:val="28"/>
          <w:szCs w:val="28"/>
        </w:rPr>
        <w:t xml:space="preserve"> может получить травму или иное воздействие, опасное для здоровья. Еще более опасные условия для людей могут возникнуть при авариях и при ликвидации </w:t>
      </w:r>
      <w:r w:rsidRPr="00DC24C6">
        <w:rPr>
          <w:color w:val="000000"/>
          <w:sz w:val="28"/>
          <w:szCs w:val="28"/>
        </w:rPr>
        <w:lastRenderedPageBreak/>
        <w:t xml:space="preserve">их последствий. В этих случаях для защиты человека необходимо применять средства индивидуальной защиты. Их использование должно обеспечивать максимальную безопасность, а неудобства, связанные с их применением, должны быть сведены к минимуму. Номенклатура </w:t>
      </w:r>
      <w:proofErr w:type="gramStart"/>
      <w:r w:rsidRPr="00DC24C6">
        <w:rPr>
          <w:color w:val="000000"/>
          <w:sz w:val="28"/>
          <w:szCs w:val="28"/>
        </w:rPr>
        <w:t>СИЗ</w:t>
      </w:r>
      <w:proofErr w:type="gramEnd"/>
      <w:r w:rsidRPr="00DC24C6">
        <w:rPr>
          <w:color w:val="000000"/>
          <w:sz w:val="28"/>
          <w:szCs w:val="28"/>
        </w:rPr>
        <w:t xml:space="preserve"> включает обширный перечень средств, применяемых в производственных условиях (СИЗ повседневного использования), а также средств, используемых в чрезвычайных ситуациях (СИЗ кратковременного использования). </w:t>
      </w:r>
    </w:p>
    <w:p w:rsidR="00DC24C6" w:rsidRPr="00DC24C6" w:rsidRDefault="00DC24C6" w:rsidP="0000567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4C6">
        <w:rPr>
          <w:color w:val="000000"/>
          <w:sz w:val="28"/>
          <w:szCs w:val="28"/>
        </w:rPr>
        <w:t>В последних случаях применяют преимущественно изолирующие средства индивидуальной защиты (ИСИЗ).</w:t>
      </w:r>
    </w:p>
    <w:p w:rsidR="00DC24C6" w:rsidRPr="00DC24C6" w:rsidRDefault="00DC24C6" w:rsidP="0000567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4C6">
        <w:rPr>
          <w:color w:val="000000"/>
          <w:sz w:val="28"/>
          <w:szCs w:val="28"/>
        </w:rPr>
        <w:t>Рассмотренные выше варианты использования защиты от опасностей широко применяются на практике. Однако при этом следует иметь в виду, что для защиты от естественных источников опасности не применима защита совершенствованием свойств источника и мало применима защита расстоянием.</w:t>
      </w:r>
    </w:p>
    <w:p w:rsidR="00DC24C6" w:rsidRPr="00DC24C6" w:rsidRDefault="00DC24C6" w:rsidP="0000567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24C6">
        <w:rPr>
          <w:color w:val="000000"/>
          <w:sz w:val="28"/>
          <w:szCs w:val="28"/>
        </w:rPr>
        <w:t xml:space="preserve">Последнее можно лишь при принятии стратегически важных решений по выбору зон пребывания человека. Например, при выборе зоны строительства опасного объекта экономики (АЭС и др.), при прокладке транспортных магистралей в горной местности и т.п. Защита от естественных опасностей обычно реализуется применением коллективных средств защиты (вентиляция, отопление, освещение и т.п.), а в критических ситуациях и применением </w:t>
      </w:r>
      <w:proofErr w:type="gramStart"/>
      <w:r w:rsidRPr="00DC24C6">
        <w:rPr>
          <w:color w:val="000000"/>
          <w:sz w:val="28"/>
          <w:szCs w:val="28"/>
        </w:rPr>
        <w:t>СИЗ</w:t>
      </w:r>
      <w:proofErr w:type="gramEnd"/>
      <w:r w:rsidRPr="00DC24C6">
        <w:rPr>
          <w:color w:val="000000"/>
          <w:sz w:val="28"/>
          <w:szCs w:val="28"/>
        </w:rPr>
        <w:t>.</w:t>
      </w:r>
    </w:p>
    <w:p w:rsidR="00DC24C6" w:rsidRDefault="00DC24C6" w:rsidP="0000567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0567F">
        <w:rPr>
          <w:color w:val="000000"/>
          <w:sz w:val="28"/>
          <w:szCs w:val="28"/>
          <w:u w:val="single"/>
        </w:rPr>
        <w:t>Важным обстоятельством при реализации защиты человека от опасностей является исправность и своевременность применения защитных средств.</w:t>
      </w: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использование химических производств в эко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номике может привести к авариям с выбросом химически опасных веществ (ХОВ) и химическому загрязнению окружа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ющей среды.</w:t>
      </w: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Безопасность функционирования химических предприя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тий зависит от физико-химических свойств сырья и продук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тов, характера технологического процесса, конструкции и надежности оборудования, условий хранения и 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транспорти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ровки ХОВ, состояния контрольно-измерительных приборов и средств автоматизации, подготовленности и практических навыков персонала, эффективности сре</w:t>
      </w:r>
      <w:proofErr w:type="gram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дств пр</w:t>
      </w:r>
      <w:proofErr w:type="gram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отивоаварийной защиты.</w:t>
      </w: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загрязнение как поражающий фактор выбросов химически опасных веществ. Утечка ХОВ проис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ходит вследствие взрывов, разрушений и повреждений ре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зервуаров и технологических трубопроводов, что приводит к загрязнению воздушного и водного бассейнов, больших тер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риторий и может вызвать гибель либо тяжелые заболевания людей и животных.</w:t>
      </w: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 проникают в организм человека через органы дыха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(ингаляционный путь) и кожу (резорбтивный путь). Воз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 попадание ХОВ в организм через раневые поверхно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и желудочно-кишечный тракт (перорально). ХОВ разно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сятся кровью ко всем органам и тканям, что может привести к патологическим изменениям, потере работоспособности и гибели человека.</w:t>
      </w:r>
    </w:p>
    <w:p w:rsid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Важнейшая характеристика ХОВ — токсичность. 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Токсич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ность — степень ядовитости, характеризующаяся пороговой концентрацией, пределом переносимости, смертельной концен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трацией или смертельной дозой. </w:t>
      </w: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Пороговая концентрация — это количество вещества, которое может вызвать негатив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ный физиологический эффект: ощущаются лишь первичные признаки поражения, при этом работоспособность сохраня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ется.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Предел переносимости — это максимальная концентра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ция, которую человек может выдержать определенное время без устойчивого поражения.</w:t>
      </w: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промышленности пределом переносимости является ПДК, регламентирующая допустимую степень загрязнения ХОВ воздуха рабочей зоны.</w:t>
      </w:r>
      <w:proofErr w:type="gram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ПДК — это предельно допусти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мая концентрация ХОВ, которая при постоянном воздействии на человека в течение рабочего дня не вызывает даже через длительный промежуток времени патологических изменений или заболеваний.</w:t>
      </w: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Количественно токсичность ХОВ оценивают дозой. Доза, вызывающая определенный токсический эффект, называет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 </w:t>
      </w:r>
      <w:proofErr w:type="spell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токсодозой</w:t>
      </w:r>
      <w:proofErr w:type="spell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Средняя смертельная </w:t>
      </w:r>
      <w:proofErr w:type="spell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токсодоза</w:t>
      </w:r>
      <w:proofErr w:type="spell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LD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50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это количество ХОВ, вызывающее при пероральном поступле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нии смерть 50% </w:t>
      </w:r>
      <w:proofErr w:type="gram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пораженных</w:t>
      </w:r>
      <w:proofErr w:type="gram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Средняя смертельная концент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рация (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LC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50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это количество ХОВ, вызывающее при инга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ляционном поступлении смертельный исход 50% </w:t>
      </w:r>
      <w:proofErr w:type="gram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</w:t>
      </w:r>
      <w:proofErr w:type="gram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Измеряются они соответственно мг/кг, мг/л и мг/м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567F" w:rsidRPr="0000567F" w:rsidRDefault="0000567F" w:rsidP="0000567F">
      <w:pPr>
        <w:spacing w:after="0" w:line="360" w:lineRule="auto"/>
        <w:ind w:left="23" w:right="23"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степени воздействия на организм ХОВ подразделя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ются на четыре класса опасности: </w:t>
      </w:r>
    </w:p>
    <w:p w:rsidR="0000567F" w:rsidRPr="0000567F" w:rsidRDefault="0000567F" w:rsidP="0000567F">
      <w:pPr>
        <w:spacing w:after="0" w:line="360" w:lineRule="auto"/>
        <w:ind w:left="23" w:right="23"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I — чрезвычайно опасные; </w:t>
      </w:r>
    </w:p>
    <w:p w:rsidR="0000567F" w:rsidRPr="0000567F" w:rsidRDefault="0000567F" w:rsidP="0000567F">
      <w:pPr>
        <w:spacing w:after="0" w:line="360" w:lineRule="auto"/>
        <w:ind w:left="23" w:right="23"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II — </w:t>
      </w:r>
      <w:proofErr w:type="spell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высокоопасные</w:t>
      </w:r>
      <w:proofErr w:type="spell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; </w:t>
      </w:r>
    </w:p>
    <w:p w:rsidR="0000567F" w:rsidRPr="0000567F" w:rsidRDefault="0000567F" w:rsidP="0000567F">
      <w:pPr>
        <w:spacing w:after="0" w:line="360" w:lineRule="auto"/>
        <w:ind w:left="23" w:right="23"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III —умеренно опасные; </w:t>
      </w:r>
    </w:p>
    <w:p w:rsidR="0000567F" w:rsidRPr="0000567F" w:rsidRDefault="0000567F" w:rsidP="0000567F">
      <w:pPr>
        <w:spacing w:after="0" w:line="360" w:lineRule="auto"/>
        <w:ind w:left="23" w:right="23" w:firstLine="4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 — мало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опасные вещества. </w:t>
      </w:r>
    </w:p>
    <w:p w:rsidR="0000567F" w:rsidRDefault="0000567F" w:rsidP="000056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опасности ХОВ устанавливают по самому жесткому показателю, характерному для данного ве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щества. </w:t>
      </w:r>
    </w:p>
    <w:p w:rsidR="0000567F" w:rsidRPr="0000567F" w:rsidRDefault="0000567F" w:rsidP="000056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классов опасности химических веществ (ГОСТ 12007-76)</w:t>
      </w:r>
    </w:p>
    <w:tbl>
      <w:tblPr>
        <w:tblW w:w="7936" w:type="dxa"/>
        <w:jc w:val="center"/>
        <w:tblInd w:w="2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878"/>
        <w:gridCol w:w="1108"/>
        <w:gridCol w:w="1134"/>
        <w:gridCol w:w="1699"/>
      </w:tblGrid>
      <w:tr w:rsidR="0000567F" w:rsidRPr="0000567F" w:rsidTr="0000567F">
        <w:trPr>
          <w:trHeight w:val="226"/>
          <w:jc w:val="center"/>
        </w:trPr>
        <w:tc>
          <w:tcPr>
            <w:tcW w:w="3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для класса опасности</w:t>
            </w:r>
          </w:p>
        </w:tc>
      </w:tr>
      <w:tr w:rsidR="0000567F" w:rsidRPr="0000567F" w:rsidTr="0000567F">
        <w:trPr>
          <w:trHeight w:val="216"/>
          <w:jc w:val="center"/>
        </w:trPr>
        <w:tc>
          <w:tcPr>
            <w:tcW w:w="3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00567F" w:rsidRPr="0000567F" w:rsidTr="0000567F">
        <w:trPr>
          <w:trHeight w:val="634"/>
          <w:jc w:val="center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0567F" w:rsidRPr="0000567F" w:rsidRDefault="0000567F" w:rsidP="0000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допустимая концен</w:t>
            </w: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трация вредных веществ в воз</w:t>
            </w: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духе рабочей зоны, мг/м</w:t>
            </w: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1,1-ю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</w:t>
            </w:r>
          </w:p>
        </w:tc>
      </w:tr>
      <w:tr w:rsidR="0000567F" w:rsidRPr="0000567F" w:rsidTr="0000567F">
        <w:trPr>
          <w:trHeight w:val="422"/>
          <w:jc w:val="center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0567F" w:rsidRPr="0000567F" w:rsidRDefault="0000567F" w:rsidP="0000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смертельная доза при попадании в желудок, мг/кг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151-5000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5000</w:t>
            </w:r>
          </w:p>
        </w:tc>
      </w:tr>
      <w:tr w:rsidR="0000567F" w:rsidRPr="0000567F" w:rsidTr="0000567F">
        <w:trPr>
          <w:trHeight w:val="418"/>
          <w:jc w:val="center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0567F" w:rsidRPr="0000567F" w:rsidRDefault="0000567F" w:rsidP="0000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смертельная доза при попадании на кожу, мг/кг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501-2500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2500</w:t>
            </w:r>
          </w:p>
        </w:tc>
      </w:tr>
      <w:tr w:rsidR="0000567F" w:rsidRPr="0000567F" w:rsidTr="0000567F">
        <w:trPr>
          <w:trHeight w:val="432"/>
          <w:jc w:val="center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0567F" w:rsidRPr="0000567F" w:rsidRDefault="0000567F" w:rsidP="0000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смертельная концен</w:t>
            </w: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трация в воздухе, мг/м</w:t>
            </w: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5001-50 000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567F" w:rsidRPr="0000567F" w:rsidRDefault="0000567F" w:rsidP="0000567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50 000</w:t>
            </w:r>
          </w:p>
        </w:tc>
      </w:tr>
    </w:tbl>
    <w:p w:rsidR="0000567F" w:rsidRPr="0000567F" w:rsidRDefault="0000567F" w:rsidP="000056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городов и городских районов степень опасности от химически опасных объектов оценивается по доле террито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рии (населения), попадающей в зону химического заражения (3X3). Первая степень химической опасности для города, ког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в 3X3 попадает 50% территории (населения), вторая — от 30 до 50 и третья — от 10 до 30%.</w:t>
      </w: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 физико-химическим показателем, определяю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размеры опасной для людей зоны распространения вред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веществ, является их фазовое состояние при данных метеоусловиях. Опыт показывает, что разрушение емкостей с ХОВ или применение боеприпасов с ХОВ в твердом или жидком состоянии приводит к локальному действию, т. е. в месте разрушения емкости (взрыва боеприпаса) или ближай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ших окрестностях. Пары и газы, а также </w:t>
      </w:r>
      <w:proofErr w:type="spell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неоседающий</w:t>
      </w:r>
      <w:proofErr w:type="spell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золь распространяются на многие километры, что значитель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увеличивает масштабы опасности.</w:t>
      </w:r>
    </w:p>
    <w:p w:rsid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некоторых химических веществ по сте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пени их ингаляционной опасности приведена в табл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ице 2.</w:t>
      </w:r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табл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 2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свидетельствуют о том, что наибольшую опас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для населения представляют аварии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сжиженными га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зами и ХОВ, кипящими при низкой температуре. При попа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дании ХОВ в водоемы опасными характеристиками, влияю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щими на степень загрязненности воды, будут такие, как ток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сичность, растворимость, удельная масса.</w:t>
      </w:r>
    </w:p>
    <w:p w:rsid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Поражающие концентрации ХОВ определяются их фи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зико-химическими свойствами — агрегатное состояние ве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щества, растворимость его в воде и органических раствори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телях, плотность и летучесть вещества, удельная теплота испарения и теплоемкость жидкости, давление насыщенных паров, температура кипения и др. Эти характеристики необ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ходимы при оценке безопасности производства, хранения и перевозок ХОВ, прогнозировании и оценке последствий хи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мически опасных аварий.</w:t>
      </w:r>
      <w:proofErr w:type="gramEnd"/>
    </w:p>
    <w:p w:rsidR="0000567F" w:rsidRPr="0000567F" w:rsidRDefault="0000567F" w:rsidP="0000567F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обычных условиях ХОВ могут быть в твердом, жидком или газообразном состоянии. Газ (пар) занимает большой объем, поэтому при производстве, использовании, хранении.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567F" w:rsidRPr="0000567F" w:rsidTr="0000567F">
        <w:trPr>
          <w:tblCellSpacing w:w="0" w:type="dxa"/>
        </w:trPr>
        <w:tc>
          <w:tcPr>
            <w:tcW w:w="0" w:type="auto"/>
            <w:hideMark/>
          </w:tcPr>
          <w:p w:rsidR="0000567F" w:rsidRDefault="0000567F" w:rsidP="000056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0567F" w:rsidRDefault="0000567F" w:rsidP="000056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67F" w:rsidRDefault="0000567F" w:rsidP="000056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67F" w:rsidRDefault="0000567F" w:rsidP="0000567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67F" w:rsidRDefault="0000567F" w:rsidP="0000567F">
            <w:pPr>
              <w:spacing w:after="0" w:line="360" w:lineRule="auto"/>
              <w:ind w:left="200" w:right="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Таблица 2</w:t>
            </w:r>
            <w:r w:rsidRPr="0000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0567F" w:rsidRPr="0000567F" w:rsidRDefault="0000567F" w:rsidP="00AB65EC">
            <w:pPr>
              <w:spacing w:after="0" w:line="240" w:lineRule="auto"/>
              <w:ind w:left="200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химических веществ по степени их опасности (ГОСТ 12007-76)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2"/>
              <w:gridCol w:w="1560"/>
              <w:gridCol w:w="1488"/>
              <w:gridCol w:w="1485"/>
              <w:gridCol w:w="1410"/>
            </w:tblGrid>
            <w:tr w:rsidR="0000567F" w:rsidRPr="0000567F" w:rsidTr="0000567F">
              <w:trPr>
                <w:trHeight w:val="422"/>
              </w:trPr>
              <w:tc>
                <w:tcPr>
                  <w:tcW w:w="33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Химические вещества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Т, °С</w:t>
                  </w:r>
                </w:p>
              </w:tc>
              <w:tc>
                <w:tcPr>
                  <w:tcW w:w="14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20</w:t>
                  </w: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макс, мг/м</w:t>
                  </w: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caps/>
                      <w:smallCaps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LC</w:t>
                  </w:r>
                  <w:r w:rsidRPr="0000567F">
                    <w:rPr>
                      <w:rFonts w:ascii="Times New Roman" w:eastAsia="Times New Roman" w:hAnsi="Times New Roman" w:cs="Times New Roman"/>
                      <w:caps/>
                      <w:smallCaps/>
                      <w:sz w:val="24"/>
                      <w:szCs w:val="24"/>
                      <w:shd w:val="clear" w:color="auto" w:fill="FFFFFF"/>
                      <w:vertAlign w:val="subscript"/>
                      <w:lang w:eastAsia="ru-RU"/>
                    </w:rPr>
                    <w:t>50</w:t>
                  </w:r>
                  <w:r w:rsidRPr="0000567F">
                    <w:rPr>
                      <w:rFonts w:ascii="Times New Roman" w:eastAsia="Times New Roman" w:hAnsi="Times New Roman" w:cs="Times New Roman"/>
                      <w:caps/>
                      <w:smallCaps/>
                      <w:sz w:val="24"/>
                      <w:szCs w:val="24"/>
                      <w:shd w:val="clear" w:color="auto" w:fill="FFFFFF"/>
                      <w:lang w:eastAsia="ru-RU"/>
                    </w:rPr>
                    <w:t>,</w:t>
                  </w: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мг/м</w:t>
                  </w: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ПДК, мг/м</w:t>
                  </w: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</w:p>
              </w:tc>
            </w:tr>
            <w:tr w:rsidR="0000567F" w:rsidRPr="0000567F" w:rsidTr="0000567F">
              <w:trPr>
                <w:trHeight w:val="21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Хлор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-34,0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19 640 000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00567F" w:rsidRPr="0000567F" w:rsidTr="0000567F">
              <w:trPr>
                <w:trHeight w:val="21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Аммиак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-33,0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5 800 000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0567F" w:rsidRPr="0000567F" w:rsidTr="0000567F">
              <w:trPr>
                <w:trHeight w:val="216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Сернистый ангидрид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-10,1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8 390 000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0567F" w:rsidRPr="0000567F" w:rsidTr="0000567F">
              <w:trPr>
                <w:trHeight w:val="216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Фосген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6 400 000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00567F" w:rsidRPr="0000567F" w:rsidTr="0000567F">
              <w:trPr>
                <w:trHeight w:val="216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4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Окись этилена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10,7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119 885 000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00567F" w:rsidRPr="0000567F" w:rsidTr="0000567F">
              <w:trPr>
                <w:trHeight w:val="21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Фтористый водород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19,9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1 875 000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00567F" w:rsidRPr="0000567F" w:rsidTr="0000567F">
              <w:trPr>
                <w:trHeight w:val="216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4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Тетраоксид</w:t>
                  </w:r>
                  <w:proofErr w:type="spellEnd"/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азота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3 617 000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00567F" w:rsidRPr="0000567F" w:rsidTr="0000567F">
              <w:trPr>
                <w:trHeight w:val="216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firstLine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Синильная кислота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952 000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0,3</w:t>
                  </w:r>
                </w:p>
              </w:tc>
            </w:tr>
            <w:tr w:rsidR="0000567F" w:rsidRPr="0000567F" w:rsidTr="0000567F">
              <w:trPr>
                <w:trHeight w:val="216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firstLine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Изопрен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1 700 000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144 000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00567F" w:rsidRPr="0000567F" w:rsidTr="0000567F">
              <w:trPr>
                <w:trHeight w:val="21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4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Сероуглерод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1 255 000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30 000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1,0</w:t>
                  </w:r>
                </w:p>
              </w:tc>
            </w:tr>
            <w:tr w:rsidR="0000567F" w:rsidRPr="0000567F" w:rsidTr="0000567F">
              <w:trPr>
                <w:trHeight w:val="422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firstLine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Несимметричные </w:t>
                  </w:r>
                  <w:proofErr w:type="spellStart"/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диметилгидразины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386 000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</w:t>
                  </w:r>
                </w:p>
              </w:tc>
            </w:tr>
            <w:tr w:rsidR="0000567F" w:rsidRPr="0000567F" w:rsidTr="0000567F">
              <w:trPr>
                <w:trHeight w:val="21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4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Акрилонитрил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</w:tr>
            <w:tr w:rsidR="0000567F" w:rsidRPr="0000567F" w:rsidTr="0000567F">
              <w:trPr>
                <w:trHeight w:val="21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Бензол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45 000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00567F" w:rsidRPr="0000567F" w:rsidTr="0000567F">
              <w:trPr>
                <w:trHeight w:val="21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Дихлорэтан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341 000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35 000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0567F" w:rsidRPr="0000567F" w:rsidTr="0000567F">
              <w:trPr>
                <w:trHeight w:val="21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Зарин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11 300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0,00002</w:t>
                  </w:r>
                </w:p>
              </w:tc>
            </w:tr>
            <w:tr w:rsidR="0000567F" w:rsidRPr="0000567F" w:rsidTr="0000567F">
              <w:trPr>
                <w:trHeight w:val="21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Зоман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3100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0,00002</w:t>
                  </w:r>
                </w:p>
              </w:tc>
            </w:tr>
            <w:tr w:rsidR="0000567F" w:rsidRPr="0000567F" w:rsidTr="0000567F">
              <w:trPr>
                <w:trHeight w:val="221"/>
              </w:trPr>
              <w:tc>
                <w:tcPr>
                  <w:tcW w:w="3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Ви-экс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314,0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1,6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right="-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00567F" w:rsidRPr="0000567F" w:rsidRDefault="0000567F" w:rsidP="0000567F">
                  <w:pPr>
                    <w:spacing w:after="0" w:line="240" w:lineRule="auto"/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0,000001</w:t>
                  </w:r>
                </w:p>
              </w:tc>
            </w:tr>
          </w:tbl>
          <w:p w:rsidR="0000567F" w:rsidRPr="0000567F" w:rsidRDefault="0000567F" w:rsidP="0000567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67F" w:rsidRPr="0000567F" w:rsidRDefault="0000567F" w:rsidP="0000567F">
      <w:pPr>
        <w:spacing w:line="360" w:lineRule="auto"/>
        <w:ind w:left="200" w:righ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0567F" w:rsidRPr="0000567F" w:rsidRDefault="0000567F" w:rsidP="0000567F">
      <w:pPr>
        <w:spacing w:before="154" w:after="153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6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Примечание: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20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макс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максимальная концентрация газа (пара) при 20</w:t>
      </w:r>
      <w:proofErr w:type="gram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</w:p>
    <w:p w:rsidR="0000567F" w:rsidRPr="0000567F" w:rsidRDefault="0000567F" w:rsidP="0000567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возках </w:t>
      </w:r>
      <w:proofErr w:type="gram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газообразные</w:t>
      </w:r>
      <w:proofErr w:type="gram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ХОВ могут переводиться в сжиженное состояние или находиться под давлением. Это может значи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тельно увеличить количество ХОВ, </w:t>
      </w:r>
      <w:proofErr w:type="gramStart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выбрасываемых</w:t>
      </w:r>
      <w:proofErr w:type="gramEnd"/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ава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рии в атмосферу, и повлиять на фазово-дисперсный состав образующегося при этом облака.</w:t>
      </w:r>
    </w:p>
    <w:p w:rsidR="00AB65EC" w:rsidRDefault="0000567F" w:rsidP="00AB65EC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аварий на химически опасных объек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тах. 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химических отраслях аварии подразделяются на две категории:</w:t>
      </w:r>
    </w:p>
    <w:p w:rsidR="00AB65EC" w:rsidRDefault="0000567F" w:rsidP="00AB65EC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1)</w:t>
      </w:r>
      <w:r w:rsidR="00AB65EC" w:rsidRPr="00AB65EC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eastAsia="ru-RU"/>
        </w:rPr>
        <w:t>  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аварии в результате взрывов, вызывающих разруше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ние технологической схемы, инженерных сооружений и пол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ное или частичное прекращение выпуска продукции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для восстановления производства требуются специальные ассиг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нования от вышестоящих организаций;</w:t>
      </w:r>
    </w:p>
    <w:p w:rsidR="0000567F" w:rsidRPr="0000567F" w:rsidRDefault="00AB65EC" w:rsidP="00AB65EC">
      <w:pPr>
        <w:spacing w:after="0" w:line="360" w:lineRule="auto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2)</w:t>
      </w:r>
      <w:r w:rsidR="0000567F"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аварии, в результате которых повреждено основное или вспомогательное технологическое оборудование, полнос</w:t>
      </w:r>
      <w:r w:rsidR="0000567F"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тью или частично </w:t>
      </w:r>
      <w:r w:rsidR="0000567F"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прекращен выпуск продукции, но для вос</w:t>
      </w:r>
      <w:r w:rsidR="0000567F"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становления производства не требуются специальные ассиг</w:t>
      </w:r>
      <w:r w:rsidR="0000567F" w:rsidRPr="00005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>нования вышестоящих инстанций.</w:t>
      </w:r>
    </w:p>
    <w:p w:rsidR="0000567F" w:rsidRPr="0000567F" w:rsidRDefault="0000567F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авариях на химичес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производствах и при транспортировке ХОВ, а также при применении химического оружия масштабы опасности будут определяться токсичностью вещества и размерами зоны его распространения. Размеры зоны распространения зависят от физико-химических свойств вещества, тоннажа (массы) раз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литого вещества, степени разрушения емкости, метеороло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гических условий и характера местности</w:t>
      </w:r>
    </w:p>
    <w:p w:rsidR="0000567F" w:rsidRDefault="0000567F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для определения химической опасности объек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является количество населения, попадающего в зону воз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можного химического загрязнения (ЗВХЗ), которая представ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 собой круг радиусом, равным наибольшей глубине рас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пространения облака загрязненного воздуха с пороговой кон</w:t>
      </w:r>
      <w:r w:rsidRPr="00005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центрацией.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Механизм влияния радиации на организм человека.</w:t>
      </w:r>
    </w:p>
    <w:p w:rsid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Радиоактивные излучения (альф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,бета-частицы, нейтроны, гамма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-кванты) обладают различной про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никающей и ионизирующей способностью. Наименьшей проникающей способностью обладают альфа-частиц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ядра гелия), длина пробега которых в тка­ни человека составляет доли миллиметра и в воздухе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иметров. Они не могут даже прой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через лист бумаги, но обладают наибольшей ионизирующей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собностью. Бета-частицы по срав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нению с альфа-частицами обладают большей про­никающей способностью (длина пробега в воздухе составляет 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ры) и уже задерживаются не бума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гой, а более твердыми материалами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алюминий, оргстекло и др.). 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ионизирующая способность бета-частиц (электроны,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позитроны) в 1000 раз меньше альфа-частиц и при пробеге в воздухе на 1 см пути образует несколько десятков пар ионов. Гам­ма-кванты по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 природе относятся к электро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магнитным излучениями и обладают большой про­никающей способностью ( в воздухе до нескольких километров);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ионизирующая способность существенно меньше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у альф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бета-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стиц. Ней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роны (частицы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 атома) обладают также значи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проникающей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собностью, что объясняется отс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утствием у них заряда. Их </w:t>
      </w:r>
      <w:proofErr w:type="spell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ионизируюшая</w:t>
      </w:r>
      <w:proofErr w:type="spell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связана с так называемой «наведенной </w:t>
      </w:r>
      <w:proofErr w:type="spell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радиоактивнстью</w:t>
      </w:r>
      <w:proofErr w:type="spell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образуется в результа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«попадания» нейтрона в ядро атома вещества и тем самым наруш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его стабильность, образует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ра­диоактивный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изотоп. Ионизирующая способность нейтронов при определенных условиях может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аналогичной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альфа-излучению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Ионизирующие излучения, обладающие большой проникающей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способностью представляют опас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в большей степени при внешнем облучении, а альф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бета-излучения при непосредственном воздействии на ткани организма при попадании внутрь организма с вд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ыхаемым воздухом, водой, пищей.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При внешнем облучении 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всего тела или отдель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ных его участков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(местном воздействии) или внут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реннем облучен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ии человека или животных в пора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жающих дозах 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может развиться заболевание,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зываемое лучевой болезнью.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ремя лучевое поражение людей мо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 быть связано с нарушением правил и норм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ра­диационной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при выполнении работ с источниками 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низирующих излучений, при авари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 на </w:t>
      </w:r>
      <w:proofErr w:type="spell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радиационноопасных</w:t>
      </w:r>
      <w:proofErr w:type="spell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объектах, при ядерных взрывах и др. В зависимости от полученной дозы и длительности облучения у пострадавших может раз­виться острая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хроническая лучевая болезнь.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Острая лучев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ая болезнь развивается при одно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кратном тотальном облучении тела в поражающих дозах свыше 100 рад (1 грей).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тяжести течения различают легкую, средней тяжести, тяжелую и крайне тяжелую формы острой лучевой болезни. В настоящее время считается, что при относительно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равномерном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мма-облучении острая лучевая бо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лезнь в легкой форме развивается при дозе 100— 200 рад (1—2 грея), средней тяжести — 200—400 рад (2—4 грея), в тяжелой форме при дозе облучения 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400—600 рад (4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 грей) и крайне тяжелая фор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дозе свыше 600 рад (6 грей).</w:t>
      </w:r>
    </w:p>
    <w:p w:rsid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Лучевая болезнь всегда имеет затяжной характер. При этом 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выделя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ют четыре периода течения болез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ни: </w:t>
      </w:r>
    </w:p>
    <w:p w:rsid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первичная лучевая реакция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;</w:t>
      </w:r>
    </w:p>
    <w:p w:rsid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скрытый период или период мнимого 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гополучия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;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период выраженных клинических проявлений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;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период выздоровления.</w:t>
      </w:r>
    </w:p>
    <w:p w:rsidR="00E1210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тяжелой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лучевой болезни характер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быстрое начало и бурное развитие клинических Признаков первичной реакции, которая развивается в первые часы после облучения и длится 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несколь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часов до неск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ольких дней. При этом пострадав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шие жалуются на резкую слабость, головную боль, головокружение, сильную жажду, тошноту. Через полчаса или позже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появляется рвота, иногда прини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мающая неукрот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имый характер. Больные становят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беспокойны, в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озбуждены, а впоследствии затор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можены, вялы; у 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одних возможна бессонница, у дру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гих развивается сонливость. </w:t>
      </w:r>
    </w:p>
    <w:p w:rsidR="00AB65EC" w:rsidRPr="00AB65EC" w:rsidRDefault="00AB65EC" w:rsidP="00E1210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больных повышается температура те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ла, отмечается повышенная потли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вость, гипереми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покраснение) кожи и выражен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кровенаполнение сосуд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склер (глаз); учащает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пульс, снижается артериальное давление, а в край­не тяжелых случаях возможно его падение вплоть до </w:t>
      </w:r>
      <w:proofErr w:type="spell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коллаптоидного</w:t>
      </w:r>
      <w:proofErr w:type="spellEnd"/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состояния. Кроме того у постра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давших отмечается повышенное выделение мочи (полиурия) и жидкий стул 2 — 3 раза в с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утки.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мнимого благополучия самочувствие больных улучае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тся, прекращается рвота, появля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аппетит. Ул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учшается сон. Уменьшаются голов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боли и го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ловокружение. Температура норма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лизуется или слегка повышена. Однако больные жалуются на слабость и быструю утомляемость, у них сохраняется частый пульс, пониженное артериальное давлен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ие. Отмечаются специфические из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менения в крови.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10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Разгар лучев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болезни при тяжелой форме те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 отмечается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10—20 суток после облуче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В этот период самочувствие больных резко ухудшается, нарастает слабость, апатия, бессон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ица, исчезает апп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етит; иногда у больных отмечают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слуховые и зрительные галлюцинации; вновь повышается темп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ература. В этот период отмечает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снижение веса тела, т.е. формируется лучевая кахексия (исто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щение), отмечаются кожные крово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излияния. 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</w:p>
    <w:p w:rsidR="00E1210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2 недели от начала заболевания выпадают волосы, иногда до полного облысения. Слизистые оболочки полости рта и носа изъязвляются, десны кро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воточат. Отмечаются носовые кро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вотечения и кровоизлияния 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сетчатку глаз и дру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гие ткани. В особо тяжелых случаях живот вздут, при надавливан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болезнен. Артериальное давле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снижено, пульс слабый и частый. Выделение мочи снижено, с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 жидкий, иногда кровавого ха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рактера.</w:t>
      </w:r>
    </w:p>
    <w:p w:rsidR="00AB65EC" w:rsidRPr="00AB65EC" w:rsidRDefault="00AB65EC" w:rsidP="00AB65EC">
      <w:pPr>
        <w:spacing w:after="0" w:line="360" w:lineRule="auto"/>
        <w:ind w:right="20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специфические изменения в периферической крови и костном мозге больных. Иммунитет у больных к инфекциям резко снижен, в силу чего у них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развиться септические со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стояния. При неблагоприятных случаях течения лучевой болезни может наступить смерть больного от остановки сердца или паралича дыхания. При благоприятном течении болезни спустя 4 — 6 недель после облучения начинается период выздоровления, который длится в течение нескольких месяцев. Выздоровление происходит крайне медленно: нормализуются температура, сон, уменьшается слабость, появляется аппе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 и постепенно нарастает вес.</w:t>
      </w:r>
    </w:p>
    <w:p w:rsidR="00AB65EC" w:rsidRPr="00AB65EC" w:rsidRDefault="00AB65EC" w:rsidP="00AB65EC">
      <w:pPr>
        <w:spacing w:after="0" w:line="360" w:lineRule="auto"/>
        <w:ind w:right="23" w:firstLine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поражении средней тяжести отмечаются менее выраженные 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 первичной реакции, осо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 рвота (появляется через 30 минут — 3 часа). Период мнимого б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лагополучия более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растянут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 длиться 3—4 недели. Температура тела повышается незначительно. В период разгара лучевой болезни средней тяжести волосы выпадают только на отдельных участках, изъязвления кожи и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сли­зистых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оболочек, как правило, отсутствуют.</w:t>
      </w:r>
    </w:p>
    <w:p w:rsidR="00AB65EC" w:rsidRPr="00AB65EC" w:rsidRDefault="00AB65EC" w:rsidP="00AB65EC">
      <w:pPr>
        <w:spacing w:after="0" w:line="360" w:lineRule="auto"/>
        <w:ind w:right="23" w:firstLine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5EC" w:rsidRPr="00AB65EC" w:rsidRDefault="00AB65EC" w:rsidP="00E1210C">
      <w:pPr>
        <w:spacing w:after="0" w:line="360" w:lineRule="auto"/>
        <w:ind w:right="23" w:firstLine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Легкая форма лучевой болезни сопровождается слабо выраженн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первичной реакцией или ее от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сутствием. После облучения у больных через 1,5 — 3 недели появляются слабость, быстрая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утомляе­мость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головные боли, потливость. У пострадавших не отмечается кровоточивости, изъязвлений кожи и слизистых оболочек; выздоровление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пра­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вило достаточно полно и быстро.</w:t>
      </w:r>
    </w:p>
    <w:p w:rsidR="00AB65EC" w:rsidRPr="00AB65EC" w:rsidRDefault="00AB65EC" w:rsidP="00E1210C">
      <w:pPr>
        <w:spacing w:after="0" w:line="360" w:lineRule="auto"/>
        <w:ind w:right="23" w:firstLine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разгара лучевой болезни у больных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воз­можны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осложнения в виде воспаления легких и раз­вития септических состояний, кровоизлияния в мозг и другие органы. Все лица, перенесшие лучевую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бо­лезнь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длительное время остаются легко истощае­мыми, эмоционально неуравновешенными, со сни­женной устойчивостью организма к н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еблагоприят­ным факторам среды.</w:t>
      </w:r>
    </w:p>
    <w:p w:rsidR="00AB65EC" w:rsidRPr="00AB65EC" w:rsidRDefault="00AB65EC" w:rsidP="00AB65EC">
      <w:pPr>
        <w:spacing w:after="0" w:line="360" w:lineRule="auto"/>
        <w:ind w:right="23" w:firstLine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некоторых </w:t>
      </w:r>
      <w:r w:rsidR="00E12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облученных могут развиться в от</w:t>
      </w:r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даленные сроки последствия облучения в виде лей­коза, злокачественных опухолей, генетических </w:t>
      </w:r>
      <w:proofErr w:type="gramStart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B6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­рушений и др.</w:t>
      </w:r>
    </w:p>
    <w:p w:rsidR="00F913A5" w:rsidRPr="007E071A" w:rsidRDefault="00F913A5" w:rsidP="007E0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913A5" w:rsidRPr="007E071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A5" w:rsidRDefault="00F913A5" w:rsidP="00F913A5">
      <w:pPr>
        <w:spacing w:after="0" w:line="240" w:lineRule="auto"/>
      </w:pPr>
      <w:r>
        <w:separator/>
      </w:r>
    </w:p>
  </w:endnote>
  <w:endnote w:type="continuationSeparator" w:id="0">
    <w:p w:rsidR="00F913A5" w:rsidRDefault="00F913A5" w:rsidP="00F9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752730"/>
      <w:docPartObj>
        <w:docPartGallery w:val="Page Numbers (Bottom of Page)"/>
        <w:docPartUnique/>
      </w:docPartObj>
    </w:sdtPr>
    <w:sdtContent>
      <w:p w:rsidR="00F913A5" w:rsidRDefault="00F913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10C">
          <w:rPr>
            <w:noProof/>
          </w:rPr>
          <w:t>14</w:t>
        </w:r>
        <w:r>
          <w:fldChar w:fldCharType="end"/>
        </w:r>
      </w:p>
    </w:sdtContent>
  </w:sdt>
  <w:p w:rsidR="00F913A5" w:rsidRDefault="00F913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A5" w:rsidRDefault="00F913A5" w:rsidP="00F913A5">
      <w:pPr>
        <w:spacing w:after="0" w:line="240" w:lineRule="auto"/>
      </w:pPr>
      <w:r>
        <w:separator/>
      </w:r>
    </w:p>
  </w:footnote>
  <w:footnote w:type="continuationSeparator" w:id="0">
    <w:p w:rsidR="00F913A5" w:rsidRDefault="00F913A5" w:rsidP="00F91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1A"/>
    <w:rsid w:val="0000567F"/>
    <w:rsid w:val="007E071A"/>
    <w:rsid w:val="00993AF5"/>
    <w:rsid w:val="00AB65EC"/>
    <w:rsid w:val="00DC24C6"/>
    <w:rsid w:val="00E1210C"/>
    <w:rsid w:val="00F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3A5"/>
  </w:style>
  <w:style w:type="paragraph" w:styleId="a5">
    <w:name w:val="footer"/>
    <w:basedOn w:val="a"/>
    <w:link w:val="a6"/>
    <w:uiPriority w:val="99"/>
    <w:unhideWhenUsed/>
    <w:rsid w:val="00F9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3A5"/>
  </w:style>
  <w:style w:type="paragraph" w:styleId="a7">
    <w:name w:val="Normal (Web)"/>
    <w:basedOn w:val="a"/>
    <w:uiPriority w:val="99"/>
    <w:semiHidden/>
    <w:unhideWhenUsed/>
    <w:rsid w:val="00F9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3A5"/>
  </w:style>
  <w:style w:type="paragraph" w:styleId="a5">
    <w:name w:val="footer"/>
    <w:basedOn w:val="a"/>
    <w:link w:val="a6"/>
    <w:uiPriority w:val="99"/>
    <w:unhideWhenUsed/>
    <w:rsid w:val="00F9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3A5"/>
  </w:style>
  <w:style w:type="paragraph" w:styleId="a7">
    <w:name w:val="Normal (Web)"/>
    <w:basedOn w:val="a"/>
    <w:uiPriority w:val="99"/>
    <w:semiHidden/>
    <w:unhideWhenUsed/>
    <w:rsid w:val="00F9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3306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2019-03-25T12:06:00Z</dcterms:created>
  <dcterms:modified xsi:type="dcterms:W3CDTF">2019-03-25T12:06:00Z</dcterms:modified>
</cp:coreProperties>
</file>